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3B48" w14:textId="77777777" w:rsidR="00C80159" w:rsidRPr="00C80159" w:rsidRDefault="00C80159" w:rsidP="007419D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14:paraId="7E833B87" w14:textId="77777777" w:rsidR="00C80159" w:rsidRDefault="00C80159" w:rsidP="007419D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14:paraId="0B8FAC59" w14:textId="77777777" w:rsidR="00C80159" w:rsidRPr="00C80159" w:rsidRDefault="00C80159" w:rsidP="007419D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1D38104" w14:textId="3DBAA94E" w:rsidR="00C80159" w:rsidRPr="00C80159" w:rsidRDefault="00C80159" w:rsidP="007419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C80159">
        <w:t xml:space="preserve"> </w:t>
      </w:r>
      <w:r w:rsidR="00572CFF" w:rsidRPr="00572CFF">
        <w:rPr>
          <w:rFonts w:ascii="Times New Roman" w:hAnsi="Times New Roman" w:cs="Times New Roman"/>
          <w:sz w:val="28"/>
          <w:szCs w:val="28"/>
        </w:rPr>
        <w:t>решения Думы Пермского муниципального округа Пермского края «</w:t>
      </w:r>
      <w:r w:rsidR="00C52D57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Пермского муниципального округа </w:t>
      </w:r>
      <w:r w:rsidR="00681F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C52D57">
        <w:rPr>
          <w:rFonts w:ascii="Times New Roman" w:hAnsi="Times New Roman" w:cs="Times New Roman"/>
          <w:sz w:val="28"/>
          <w:szCs w:val="28"/>
        </w:rPr>
        <w:t>за 202</w:t>
      </w:r>
      <w:r w:rsidR="00681FDB">
        <w:rPr>
          <w:rFonts w:ascii="Times New Roman" w:hAnsi="Times New Roman" w:cs="Times New Roman"/>
          <w:sz w:val="28"/>
          <w:szCs w:val="28"/>
        </w:rPr>
        <w:t>4</w:t>
      </w:r>
      <w:r w:rsidR="00C52D57">
        <w:rPr>
          <w:rFonts w:ascii="Times New Roman" w:hAnsi="Times New Roman" w:cs="Times New Roman"/>
          <w:sz w:val="28"/>
          <w:szCs w:val="28"/>
        </w:rPr>
        <w:t xml:space="preserve"> год</w:t>
      </w:r>
      <w:r w:rsidR="00572CFF" w:rsidRPr="00572CFF">
        <w:rPr>
          <w:rFonts w:ascii="Times New Roman" w:hAnsi="Times New Roman" w:cs="Times New Roman"/>
          <w:sz w:val="28"/>
          <w:szCs w:val="28"/>
        </w:rPr>
        <w:t>»</w:t>
      </w:r>
    </w:p>
    <w:p w14:paraId="4A093026" w14:textId="741E0AE8" w:rsidR="00C80159" w:rsidRDefault="00C80159" w:rsidP="007419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0F52FF">
        <w:rPr>
          <w:rFonts w:ascii="Times New Roman" w:hAnsi="Times New Roman" w:cs="Times New Roman"/>
          <w:sz w:val="28"/>
          <w:szCs w:val="28"/>
        </w:rPr>
        <w:t>1</w:t>
      </w:r>
      <w:r w:rsidR="00C52D57">
        <w:rPr>
          <w:rFonts w:ascii="Times New Roman" w:hAnsi="Times New Roman" w:cs="Times New Roman"/>
          <w:sz w:val="28"/>
          <w:szCs w:val="28"/>
        </w:rPr>
        <w:t>3</w:t>
      </w:r>
      <w:r w:rsidR="000F52FF">
        <w:rPr>
          <w:rFonts w:ascii="Times New Roman" w:hAnsi="Times New Roman" w:cs="Times New Roman"/>
          <w:sz w:val="28"/>
          <w:szCs w:val="28"/>
        </w:rPr>
        <w:t xml:space="preserve"> </w:t>
      </w:r>
      <w:r w:rsidR="00C52D57">
        <w:rPr>
          <w:rFonts w:ascii="Times New Roman" w:hAnsi="Times New Roman" w:cs="Times New Roman"/>
          <w:sz w:val="28"/>
          <w:szCs w:val="28"/>
        </w:rPr>
        <w:t>мая</w:t>
      </w:r>
      <w:r w:rsidR="000F52FF">
        <w:rPr>
          <w:rFonts w:ascii="Times New Roman" w:hAnsi="Times New Roman" w:cs="Times New Roman"/>
          <w:sz w:val="28"/>
          <w:szCs w:val="28"/>
        </w:rPr>
        <w:t xml:space="preserve"> 202</w:t>
      </w:r>
      <w:r w:rsidR="00681FDB">
        <w:rPr>
          <w:rFonts w:ascii="Times New Roman" w:hAnsi="Times New Roman" w:cs="Times New Roman"/>
          <w:sz w:val="28"/>
          <w:szCs w:val="28"/>
        </w:rPr>
        <w:t>5</w:t>
      </w:r>
      <w:r w:rsidRPr="00B01A32">
        <w:rPr>
          <w:rFonts w:ascii="Times New Roman" w:hAnsi="Times New Roman" w:cs="Times New Roman"/>
          <w:sz w:val="28"/>
          <w:szCs w:val="28"/>
        </w:rPr>
        <w:t xml:space="preserve"> г</w:t>
      </w:r>
      <w:r w:rsidR="000F52FF">
        <w:rPr>
          <w:rFonts w:ascii="Times New Roman" w:hAnsi="Times New Roman" w:cs="Times New Roman"/>
          <w:sz w:val="28"/>
          <w:szCs w:val="28"/>
        </w:rPr>
        <w:t>.</w:t>
      </w:r>
      <w:r w:rsidR="00FF3A47">
        <w:rPr>
          <w:rFonts w:ascii="Times New Roman" w:hAnsi="Times New Roman" w:cs="Times New Roman"/>
          <w:sz w:val="28"/>
          <w:szCs w:val="28"/>
        </w:rPr>
        <w:t xml:space="preserve"> в 16.</w:t>
      </w:r>
      <w:r w:rsidR="007D58C8">
        <w:rPr>
          <w:rFonts w:ascii="Times New Roman" w:hAnsi="Times New Roman" w:cs="Times New Roman"/>
          <w:sz w:val="28"/>
          <w:szCs w:val="28"/>
        </w:rPr>
        <w:t>15</w:t>
      </w:r>
      <w:r w:rsidR="00FF3A47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5D88F666" w14:textId="52B5B028" w:rsidR="00C80159" w:rsidRDefault="00C80159" w:rsidP="007419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72CFF" w:rsidRPr="00572CFF">
        <w:rPr>
          <w:rFonts w:ascii="Times New Roman" w:hAnsi="Times New Roman" w:cs="Times New Roman"/>
          <w:sz w:val="28"/>
          <w:szCs w:val="28"/>
        </w:rPr>
        <w:t>г. Пермь, ул. Верхне-Муллинская, 73</w:t>
      </w:r>
      <w:r w:rsidRPr="002C595E">
        <w:rPr>
          <w:rFonts w:ascii="Times New Roman" w:hAnsi="Times New Roman" w:cs="Times New Roman"/>
          <w:sz w:val="28"/>
          <w:szCs w:val="28"/>
        </w:rPr>
        <w:t xml:space="preserve"> (в зале заседаний </w:t>
      </w:r>
      <w:r w:rsidR="00572CFF" w:rsidRPr="00572CFF">
        <w:rPr>
          <w:rFonts w:ascii="Times New Roman" w:hAnsi="Times New Roman" w:cs="Times New Roman"/>
          <w:sz w:val="28"/>
          <w:szCs w:val="28"/>
        </w:rPr>
        <w:t>Думы Пермского муниципального округа Пермского края</w:t>
      </w:r>
      <w:r w:rsidRPr="002C59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C9984" w14:textId="1D41160D" w:rsidR="007419DF" w:rsidRPr="00AB61B3" w:rsidRDefault="007419DF" w:rsidP="007419DF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Думы Пермского муниципального округа Пермского края от </w:t>
      </w:r>
      <w:r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3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апреля </w:t>
      </w: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681FD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402</w:t>
      </w: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419DF">
        <w:rPr>
          <w:rFonts w:ascii="Times New Roman" w:hAnsi="Times New Roman" w:cs="Times New Roman"/>
          <w:sz w:val="28"/>
          <w:szCs w:val="28"/>
        </w:rPr>
        <w:t xml:space="preserve">О публичных слушаниях по проекту решения Думы Пермского муниципального округа Пермского края «Об утверждении отчета об исполнении бюджета Пермского муниципального округа </w:t>
      </w:r>
      <w:r w:rsidR="00681F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7419DF">
        <w:rPr>
          <w:rFonts w:ascii="Times New Roman" w:hAnsi="Times New Roman" w:cs="Times New Roman"/>
          <w:sz w:val="28"/>
          <w:szCs w:val="28"/>
        </w:rPr>
        <w:t>за 202</w:t>
      </w:r>
      <w:r w:rsidR="00681FDB">
        <w:rPr>
          <w:rFonts w:ascii="Times New Roman" w:hAnsi="Times New Roman" w:cs="Times New Roman"/>
          <w:sz w:val="28"/>
          <w:szCs w:val="28"/>
        </w:rPr>
        <w:t>4</w:t>
      </w:r>
      <w:r w:rsidRPr="007419DF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приложением установленного Думой Пермского муниципального округа Пермского края порядка учета предложений по </w:t>
      </w:r>
      <w:r w:rsidRPr="007419DF">
        <w:rPr>
          <w:rFonts w:ascii="Times New Roman" w:hAnsi="Times New Roman" w:cs="Times New Roman"/>
          <w:sz w:val="28"/>
          <w:szCs w:val="28"/>
        </w:rPr>
        <w:t xml:space="preserve">проекту решения Думы Пермского муниципального округа Пермского края «Об утверждении отчета об исполнении бюджета Пермского муниципального округа </w:t>
      </w:r>
      <w:r w:rsidR="00681F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7419DF">
        <w:rPr>
          <w:rFonts w:ascii="Times New Roman" w:hAnsi="Times New Roman" w:cs="Times New Roman"/>
          <w:sz w:val="28"/>
          <w:szCs w:val="28"/>
        </w:rPr>
        <w:t>за 202</w:t>
      </w:r>
      <w:r w:rsidR="00681FDB">
        <w:rPr>
          <w:rFonts w:ascii="Times New Roman" w:hAnsi="Times New Roman" w:cs="Times New Roman"/>
          <w:sz w:val="28"/>
          <w:szCs w:val="28"/>
        </w:rPr>
        <w:t>4</w:t>
      </w:r>
      <w:r w:rsidRPr="007419DF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размещены на официальном сайте Пермского муниципального округа в информационно-телекоммуникационной сети Интернет (www.perm</w:t>
      </w: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okrug</w:t>
      </w: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.ru) </w:t>
      </w:r>
      <w:r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F7659A"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BA3605"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апреля </w:t>
      </w:r>
      <w:r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BA3605"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г., </w:t>
      </w:r>
      <w:r w:rsidR="00220B9E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20B9E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в качестве сетевого издания ЭЛ №ФС 77-80408 от 17</w:t>
      </w:r>
      <w:r w:rsid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 </w:t>
      </w:r>
      <w:r w:rsidR="00220B9E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220B9E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7419DF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опубликованы в бюллетене муниципального образования «Пермский муниципальный округ</w:t>
      </w:r>
      <w:r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F7659A"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BA3605"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апреля </w:t>
      </w:r>
      <w:r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F7659A"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3605"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</w:t>
      </w:r>
      <w:r w:rsidR="00AB61B3"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F7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4116D59" w14:textId="41F8A41C" w:rsidR="00220B9E" w:rsidRPr="009F4D22" w:rsidRDefault="00220B9E" w:rsidP="007419DF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решения Думы «Об утверждении отчета об исполнении бюджета Пермского муниципального </w:t>
      </w:r>
      <w:r w:rsidR="00681FDB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681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F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681FDB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81FD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год» опубликован в бюллетене муниципального образования «Пермский муниципальный округ» </w:t>
      </w:r>
      <w:r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7659A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 апреля 202</w:t>
      </w:r>
      <w:r w:rsidR="00F7659A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F4D22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г.  </w:t>
      </w:r>
      <w:r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26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AB61B3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1D0D0D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, размещен на официальном сайте Пермского муниципального округа в информационно-телекоммуникационной сети Интернет (www.perm</w:t>
      </w:r>
      <w:r w:rsidR="001D0D0D" w:rsidRPr="00F765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okrug</w:t>
      </w:r>
      <w:r w:rsidR="001D0D0D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.ru) 2</w:t>
      </w:r>
      <w:r w:rsidR="00F7659A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D0D0D" w:rsidRPr="00F7659A">
        <w:rPr>
          <w:rFonts w:ascii="Times New Roman" w:hAnsi="Times New Roman" w:cs="Times New Roman"/>
          <w:sz w:val="28"/>
          <w:szCs w:val="28"/>
          <w:shd w:val="clear" w:color="auto" w:fill="FFFFFF"/>
        </w:rPr>
        <w:t> апреля 2024 г., (</w:t>
      </w:r>
      <w:r w:rsidR="001D0D0D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в качестве сетевого издания ЭЛ №ФС 77-80408 от 17</w:t>
      </w:r>
      <w:r w:rsid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 </w:t>
      </w:r>
      <w:r w:rsidR="001D0D0D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1D0D0D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F4D22" w:rsidRPr="009F4D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941FA0" w14:textId="55968F84" w:rsidR="00BA0255" w:rsidRPr="002C595E" w:rsidRDefault="00C80159" w:rsidP="007419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C4EA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C80159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</w:t>
      </w:r>
      <w:r w:rsidR="004C4EAF">
        <w:rPr>
          <w:rFonts w:ascii="Times New Roman" w:hAnsi="Times New Roman" w:cs="Times New Roman"/>
          <w:sz w:val="28"/>
          <w:szCs w:val="28"/>
        </w:rPr>
        <w:t>та, подлежащего рассмотрению на публичных слушаниях, в порядке</w:t>
      </w:r>
      <w:r w:rsidR="004C4EAF" w:rsidRPr="004C4EAF">
        <w:rPr>
          <w:rFonts w:ascii="Times New Roman" w:hAnsi="Times New Roman" w:cs="Times New Roman"/>
          <w:sz w:val="28"/>
          <w:szCs w:val="28"/>
        </w:rPr>
        <w:t xml:space="preserve"> учета предложений по вышеуказанному проекту решения 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 w:rsidR="004C4EAF" w:rsidRPr="004C4EAF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  <w:r w:rsidR="00535B32">
        <w:rPr>
          <w:rFonts w:ascii="Times New Roman" w:hAnsi="Times New Roman" w:cs="Times New Roman"/>
          <w:sz w:val="28"/>
          <w:szCs w:val="28"/>
        </w:rPr>
        <w:t>, который также прилагается</w:t>
      </w:r>
      <w:r w:rsidR="00975984">
        <w:rPr>
          <w:rFonts w:ascii="Times New Roman" w:hAnsi="Times New Roman" w:cs="Times New Roman"/>
          <w:sz w:val="28"/>
          <w:szCs w:val="28"/>
        </w:rPr>
        <w:t xml:space="preserve"> к настоящему оповещению</w:t>
      </w:r>
      <w:r w:rsidR="004C4EAF">
        <w:rPr>
          <w:rFonts w:ascii="Times New Roman" w:hAnsi="Times New Roman" w:cs="Times New Roman"/>
          <w:sz w:val="28"/>
          <w:szCs w:val="28"/>
        </w:rPr>
        <w:t>.</w:t>
      </w:r>
    </w:p>
    <w:p w14:paraId="098E3F94" w14:textId="368F4F88" w:rsidR="00BA0255" w:rsidRPr="002C595E" w:rsidRDefault="00BA0255" w:rsidP="007419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Информацию о подготовке и проведении публичных слушаний можно узнать по телефону: (342) 296</w:t>
      </w:r>
      <w:r w:rsidR="00681FDB">
        <w:rPr>
          <w:rFonts w:ascii="Times New Roman" w:hAnsi="Times New Roman" w:cs="Times New Roman"/>
          <w:sz w:val="28"/>
          <w:szCs w:val="28"/>
        </w:rPr>
        <w:t xml:space="preserve"> </w:t>
      </w:r>
      <w:r w:rsidRPr="002C595E">
        <w:rPr>
          <w:rFonts w:ascii="Times New Roman" w:hAnsi="Times New Roman" w:cs="Times New Roman"/>
          <w:sz w:val="28"/>
          <w:szCs w:val="28"/>
        </w:rPr>
        <w:t>30</w:t>
      </w:r>
      <w:r w:rsidR="00681FDB">
        <w:rPr>
          <w:rFonts w:ascii="Times New Roman" w:hAnsi="Times New Roman" w:cs="Times New Roman"/>
          <w:sz w:val="28"/>
          <w:szCs w:val="28"/>
        </w:rPr>
        <w:t xml:space="preserve"> </w:t>
      </w:r>
      <w:r w:rsidRPr="002C595E">
        <w:rPr>
          <w:rFonts w:ascii="Times New Roman" w:hAnsi="Times New Roman" w:cs="Times New Roman"/>
          <w:sz w:val="28"/>
          <w:szCs w:val="28"/>
        </w:rPr>
        <w:t>37.</w:t>
      </w:r>
    </w:p>
    <w:p w14:paraId="3129CD62" w14:textId="77777777" w:rsidR="00BA0255" w:rsidRDefault="00BA0255" w:rsidP="00BA0255">
      <w:pPr>
        <w:jc w:val="right"/>
        <w:rPr>
          <w:rFonts w:ascii="Times New Roman" w:hAnsi="Times New Roman" w:cs="Times New Roman"/>
          <w:sz w:val="28"/>
          <w:szCs w:val="28"/>
        </w:rPr>
      </w:pPr>
      <w:r w:rsidRPr="001D0D0D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14:paraId="3DA6ABD9" w14:textId="77777777" w:rsidR="007419DF" w:rsidRDefault="007419DF" w:rsidP="00975984">
      <w:pPr>
        <w:pStyle w:val="a6"/>
        <w:spacing w:line="240" w:lineRule="auto"/>
        <w:jc w:val="right"/>
      </w:pPr>
    </w:p>
    <w:p w14:paraId="40BC5521" w14:textId="77777777" w:rsidR="007419DF" w:rsidRDefault="007419DF" w:rsidP="00975984">
      <w:pPr>
        <w:pStyle w:val="a6"/>
        <w:spacing w:line="240" w:lineRule="auto"/>
        <w:jc w:val="right"/>
      </w:pPr>
    </w:p>
    <w:p w14:paraId="5E6232D1" w14:textId="77777777" w:rsidR="007419DF" w:rsidRDefault="007419DF" w:rsidP="00975984">
      <w:pPr>
        <w:pStyle w:val="a6"/>
        <w:spacing w:line="240" w:lineRule="auto"/>
        <w:jc w:val="right"/>
      </w:pPr>
    </w:p>
    <w:p w14:paraId="2BB9006B" w14:textId="6E009319" w:rsidR="00975984" w:rsidRDefault="00975984" w:rsidP="004063B9">
      <w:pPr>
        <w:pStyle w:val="a6"/>
        <w:spacing w:line="240" w:lineRule="exact"/>
        <w:jc w:val="right"/>
      </w:pPr>
      <w:r>
        <w:lastRenderedPageBreak/>
        <w:t xml:space="preserve">Приложение </w:t>
      </w:r>
    </w:p>
    <w:p w14:paraId="7351DE36" w14:textId="77777777" w:rsidR="00975984" w:rsidRDefault="00975984" w:rsidP="004063B9">
      <w:pPr>
        <w:pStyle w:val="a6"/>
        <w:spacing w:line="240" w:lineRule="exact"/>
        <w:jc w:val="right"/>
      </w:pPr>
      <w:r>
        <w:t xml:space="preserve">к оповещению </w:t>
      </w:r>
    </w:p>
    <w:p w14:paraId="26C6B98D" w14:textId="77777777" w:rsidR="00975984" w:rsidRDefault="00975984" w:rsidP="004063B9">
      <w:pPr>
        <w:pStyle w:val="a6"/>
        <w:spacing w:line="240" w:lineRule="exact"/>
        <w:jc w:val="right"/>
      </w:pPr>
      <w:r>
        <w:t>о проведении публичных слушаний</w:t>
      </w:r>
    </w:p>
    <w:p w14:paraId="1F2646D8" w14:textId="0B0255EB" w:rsidR="007419DF" w:rsidRDefault="007419DF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6C51A" w14:textId="77777777" w:rsidR="007419DF" w:rsidRDefault="007419DF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74C7A" w14:textId="77777777" w:rsidR="007419DF" w:rsidRPr="007419DF" w:rsidRDefault="007419DF" w:rsidP="004063B9">
      <w:pPr>
        <w:tabs>
          <w:tab w:val="left" w:pos="0"/>
        </w:tabs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F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06DA2D0" w14:textId="77777777" w:rsidR="007419DF" w:rsidRPr="007419DF" w:rsidRDefault="007419DF" w:rsidP="007419DF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F">
        <w:rPr>
          <w:rFonts w:ascii="Times New Roman" w:hAnsi="Times New Roman" w:cs="Times New Roman"/>
          <w:b/>
          <w:sz w:val="28"/>
          <w:szCs w:val="28"/>
        </w:rPr>
        <w:t>учета предложений по проекту решения Думы</w:t>
      </w:r>
    </w:p>
    <w:p w14:paraId="490BCBC5" w14:textId="77777777" w:rsidR="007419DF" w:rsidRPr="007419DF" w:rsidRDefault="007419DF" w:rsidP="007419DF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F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</w:p>
    <w:p w14:paraId="649525F9" w14:textId="16F7B118" w:rsidR="007419DF" w:rsidRPr="007419DF" w:rsidRDefault="007419DF" w:rsidP="007419DF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F"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 бюджета Пермского муниципального округа</w:t>
      </w:r>
      <w:r w:rsidR="00681FDB" w:rsidRPr="00681FDB">
        <w:t xml:space="preserve"> </w:t>
      </w:r>
      <w:r w:rsidR="00681FDB" w:rsidRPr="00681FDB">
        <w:rPr>
          <w:rFonts w:ascii="Times New Roman" w:hAnsi="Times New Roman" w:cs="Times New Roman"/>
          <w:b/>
          <w:sz w:val="28"/>
          <w:szCs w:val="28"/>
        </w:rPr>
        <w:t>Пермского края</w:t>
      </w:r>
      <w:r w:rsidRPr="007419DF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81FDB">
        <w:rPr>
          <w:rFonts w:ascii="Times New Roman" w:hAnsi="Times New Roman" w:cs="Times New Roman"/>
          <w:b/>
          <w:sz w:val="28"/>
          <w:szCs w:val="28"/>
        </w:rPr>
        <w:t>4</w:t>
      </w:r>
      <w:r w:rsidRPr="007419D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48DEA064" w14:textId="77777777" w:rsidR="007419DF" w:rsidRPr="007419DF" w:rsidRDefault="007419DF" w:rsidP="007419DF">
      <w:pPr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BFB7D" w14:textId="4BBA2C24" w:rsidR="007419DF" w:rsidRPr="007419DF" w:rsidRDefault="007419DF" w:rsidP="00BA3605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 xml:space="preserve">1. Предложения к проекту решения Думы Пермского муниципального округа Пермского края «Об утверждении отчета об исполнении бюджета Пермского муниципального округа </w:t>
      </w:r>
      <w:r w:rsidR="00681FDB" w:rsidRPr="00681F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7419DF">
        <w:rPr>
          <w:rFonts w:ascii="Times New Roman" w:hAnsi="Times New Roman" w:cs="Times New Roman"/>
          <w:sz w:val="28"/>
          <w:szCs w:val="28"/>
        </w:rPr>
        <w:t>за 202</w:t>
      </w:r>
      <w:r w:rsidR="00681FDB">
        <w:rPr>
          <w:rFonts w:ascii="Times New Roman" w:hAnsi="Times New Roman" w:cs="Times New Roman"/>
          <w:sz w:val="28"/>
          <w:szCs w:val="28"/>
        </w:rPr>
        <w:t>4</w:t>
      </w:r>
      <w:r w:rsidRPr="007419DF">
        <w:rPr>
          <w:rFonts w:ascii="Times New Roman" w:hAnsi="Times New Roman" w:cs="Times New Roman"/>
          <w:sz w:val="28"/>
          <w:szCs w:val="28"/>
        </w:rPr>
        <w:t xml:space="preserve"> год»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14:paraId="09ABB81D" w14:textId="48D8DCC8" w:rsidR="007419DF" w:rsidRPr="007419DF" w:rsidRDefault="007419DF" w:rsidP="00BA3605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«Об утверждении отчета об исполнении бюджета Пермского муниципального округа </w:t>
      </w:r>
      <w:r w:rsidR="00681FDB" w:rsidRPr="00681F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681FDB">
        <w:rPr>
          <w:rFonts w:ascii="Times New Roman" w:hAnsi="Times New Roman" w:cs="Times New Roman"/>
          <w:sz w:val="28"/>
          <w:szCs w:val="28"/>
        </w:rPr>
        <w:t>за 2024</w:t>
      </w:r>
      <w:r w:rsidRPr="007419DF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Думы Пермского муниципального округ</w:t>
      </w:r>
      <w:r w:rsidR="00681FDB">
        <w:rPr>
          <w:rFonts w:ascii="Times New Roman" w:hAnsi="Times New Roman" w:cs="Times New Roman"/>
          <w:sz w:val="28"/>
          <w:szCs w:val="28"/>
        </w:rPr>
        <w:t>а Пермского края) по 12 мая 2025</w:t>
      </w:r>
      <w:r w:rsidRPr="007419DF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 заинтересованных лиц, направленные по истечение указанного срока, не рассматриваются.</w:t>
      </w:r>
    </w:p>
    <w:p w14:paraId="1BC2F1E0" w14:textId="77777777" w:rsidR="007419DF" w:rsidRPr="007419DF" w:rsidRDefault="007419DF" w:rsidP="00BA3605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14:paraId="20C5E0D7" w14:textId="77777777" w:rsidR="007419DF" w:rsidRPr="007419DF" w:rsidRDefault="007419DF" w:rsidP="00BA3605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14:paraId="624F5000" w14:textId="4D60738A" w:rsidR="007419DF" w:rsidRPr="007419DF" w:rsidRDefault="007419DF" w:rsidP="00BA3605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</w:t>
      </w:r>
      <w:r w:rsidR="00681FDB">
        <w:rPr>
          <w:rFonts w:ascii="Times New Roman" w:hAnsi="Times New Roman" w:cs="Times New Roman"/>
          <w:sz w:val="28"/>
          <w:szCs w:val="28"/>
        </w:rPr>
        <w:t>- М</w:t>
      </w:r>
      <w:r w:rsidRPr="007419DF">
        <w:rPr>
          <w:rFonts w:ascii="Times New Roman" w:hAnsi="Times New Roman" w:cs="Times New Roman"/>
          <w:sz w:val="28"/>
          <w:szCs w:val="28"/>
        </w:rPr>
        <w:t xml:space="preserve">уллинская, 73, тел. 296-30-37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«Об утверждении отчета об исполнении бюджета Пермского муниципального округа </w:t>
      </w:r>
      <w:r w:rsidR="00681FDB" w:rsidRPr="00681F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7419DF">
        <w:rPr>
          <w:rFonts w:ascii="Times New Roman" w:hAnsi="Times New Roman" w:cs="Times New Roman"/>
          <w:sz w:val="28"/>
          <w:szCs w:val="28"/>
        </w:rPr>
        <w:t>за 202</w:t>
      </w:r>
      <w:r w:rsidR="00681FDB">
        <w:rPr>
          <w:rFonts w:ascii="Times New Roman" w:hAnsi="Times New Roman" w:cs="Times New Roman"/>
          <w:sz w:val="28"/>
          <w:szCs w:val="28"/>
        </w:rPr>
        <w:t>4</w:t>
      </w:r>
      <w:r w:rsidRPr="007419DF">
        <w:rPr>
          <w:rFonts w:ascii="Times New Roman" w:hAnsi="Times New Roman" w:cs="Times New Roman"/>
          <w:sz w:val="28"/>
          <w:szCs w:val="28"/>
        </w:rPr>
        <w:t xml:space="preserve"> год», либо направляются посредством официального сайта Пермского муниципального округа в информационно-телекоммуникационной сети </w:t>
      </w:r>
      <w:r w:rsidR="00681FDB">
        <w:rPr>
          <w:rFonts w:ascii="Times New Roman" w:hAnsi="Times New Roman" w:cs="Times New Roman"/>
          <w:sz w:val="28"/>
          <w:szCs w:val="28"/>
        </w:rPr>
        <w:t>«</w:t>
      </w:r>
      <w:r w:rsidRPr="007419DF">
        <w:rPr>
          <w:rFonts w:ascii="Times New Roman" w:hAnsi="Times New Roman" w:cs="Times New Roman"/>
          <w:sz w:val="28"/>
          <w:szCs w:val="28"/>
        </w:rPr>
        <w:t>Интернет</w:t>
      </w:r>
      <w:r w:rsidR="00681FDB">
        <w:rPr>
          <w:rFonts w:ascii="Times New Roman" w:hAnsi="Times New Roman" w:cs="Times New Roman"/>
          <w:sz w:val="28"/>
          <w:szCs w:val="28"/>
        </w:rPr>
        <w:t>»</w:t>
      </w:r>
      <w:r w:rsidRPr="007419DF">
        <w:rPr>
          <w:rFonts w:ascii="Times New Roman" w:hAnsi="Times New Roman" w:cs="Times New Roman"/>
          <w:sz w:val="28"/>
          <w:szCs w:val="28"/>
        </w:rPr>
        <w:t xml:space="preserve"> (www.perm</w:t>
      </w:r>
      <w:r w:rsidRPr="007419DF">
        <w:rPr>
          <w:rFonts w:ascii="Times New Roman" w:hAnsi="Times New Roman" w:cs="Times New Roman"/>
          <w:sz w:val="28"/>
          <w:szCs w:val="28"/>
          <w:lang w:val="en-US"/>
        </w:rPr>
        <w:t>okrug</w:t>
      </w:r>
      <w:r w:rsidRPr="007419DF">
        <w:rPr>
          <w:rFonts w:ascii="Times New Roman" w:hAnsi="Times New Roman" w:cs="Times New Roman"/>
          <w:sz w:val="28"/>
          <w:szCs w:val="28"/>
        </w:rPr>
        <w:t>.ru).</w:t>
      </w:r>
    </w:p>
    <w:p w14:paraId="17BCFD2C" w14:textId="77777777" w:rsidR="007419DF" w:rsidRPr="007419DF" w:rsidRDefault="007419DF" w:rsidP="00BA3605">
      <w:pPr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lastRenderedPageBreak/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округе Пермского края.</w:t>
      </w:r>
    </w:p>
    <w:p w14:paraId="48494D69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B9979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B991E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DC56E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BC2EA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13618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50993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D03B4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3C5D0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8A9F5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CFD56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FA435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B6889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1D19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70CF1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8509F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999C8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D8C70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1650E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E7EAF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EED0B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8A75E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B0945" w14:textId="75391D16" w:rsidR="007419DF" w:rsidRPr="007419DF" w:rsidRDefault="007419DF" w:rsidP="001D0D0D">
      <w:pPr>
        <w:tabs>
          <w:tab w:val="left" w:pos="5670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BDF63B2" w14:textId="77777777" w:rsidR="007419DF" w:rsidRPr="007419DF" w:rsidRDefault="007419DF" w:rsidP="001D0D0D">
      <w:pPr>
        <w:tabs>
          <w:tab w:val="left" w:pos="5670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проекту решения Думы Пермского муниципального округа Пермского края «Об утверждении отчета об </w:t>
      </w:r>
    </w:p>
    <w:p w14:paraId="24009662" w14:textId="7EBAD180" w:rsidR="007419DF" w:rsidRPr="007419DF" w:rsidRDefault="007419DF" w:rsidP="001D0D0D">
      <w:pPr>
        <w:tabs>
          <w:tab w:val="left" w:pos="5670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 xml:space="preserve">исполнении бюджета Пермского муниципального округа </w:t>
      </w:r>
      <w:r w:rsidR="00681FDB" w:rsidRPr="00681F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681FDB">
        <w:rPr>
          <w:rFonts w:ascii="Times New Roman" w:hAnsi="Times New Roman" w:cs="Times New Roman"/>
          <w:sz w:val="28"/>
          <w:szCs w:val="28"/>
        </w:rPr>
        <w:t>за 2024</w:t>
      </w:r>
      <w:r w:rsidRPr="007419DF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226FA7DC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779"/>
        <w:gridCol w:w="1693"/>
        <w:gridCol w:w="2460"/>
        <w:gridCol w:w="2736"/>
        <w:gridCol w:w="1796"/>
      </w:tblGrid>
      <w:tr w:rsidR="007419DF" w:rsidRPr="007419DF" w14:paraId="55919AEF" w14:textId="77777777" w:rsidTr="00BA3605">
        <w:tc>
          <w:tcPr>
            <w:tcW w:w="817" w:type="dxa"/>
          </w:tcPr>
          <w:p w14:paraId="30877A70" w14:textId="77777777" w:rsidR="007419DF" w:rsidRPr="007419DF" w:rsidRDefault="007419DF" w:rsidP="00017C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419DF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14:paraId="5870FA85" w14:textId="77777777" w:rsidR="007419DF" w:rsidRPr="007419DF" w:rsidRDefault="007419DF" w:rsidP="00017CE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419DF">
              <w:rPr>
                <w:sz w:val="28"/>
                <w:szCs w:val="28"/>
              </w:rPr>
              <w:t>Пункт</w:t>
            </w:r>
          </w:p>
        </w:tc>
        <w:tc>
          <w:tcPr>
            <w:tcW w:w="2693" w:type="dxa"/>
          </w:tcPr>
          <w:p w14:paraId="0147A65F" w14:textId="77777777" w:rsidR="007419DF" w:rsidRPr="007419DF" w:rsidRDefault="007419DF" w:rsidP="00017CE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419DF">
              <w:rPr>
                <w:sz w:val="28"/>
                <w:szCs w:val="28"/>
              </w:rPr>
              <w:t>Редакция проекта решения</w:t>
            </w:r>
          </w:p>
        </w:tc>
        <w:tc>
          <w:tcPr>
            <w:tcW w:w="2912" w:type="dxa"/>
          </w:tcPr>
          <w:p w14:paraId="34C64D20" w14:textId="77777777" w:rsidR="007419DF" w:rsidRPr="007419DF" w:rsidRDefault="007419DF" w:rsidP="00017CE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419DF">
              <w:rPr>
                <w:sz w:val="28"/>
                <w:szCs w:val="28"/>
              </w:rPr>
              <w:t>Предлагаемая редакция</w:t>
            </w:r>
          </w:p>
        </w:tc>
        <w:tc>
          <w:tcPr>
            <w:tcW w:w="1199" w:type="dxa"/>
          </w:tcPr>
          <w:p w14:paraId="36898A76" w14:textId="77777777" w:rsidR="007419DF" w:rsidRPr="007419DF" w:rsidRDefault="007419DF" w:rsidP="00017C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419DF">
              <w:rPr>
                <w:sz w:val="28"/>
                <w:szCs w:val="28"/>
              </w:rPr>
              <w:t>Обоснование</w:t>
            </w:r>
          </w:p>
        </w:tc>
      </w:tr>
      <w:tr w:rsidR="007419DF" w:rsidRPr="007419DF" w14:paraId="3D6BE4DD" w14:textId="77777777" w:rsidTr="00BA3605">
        <w:tc>
          <w:tcPr>
            <w:tcW w:w="817" w:type="dxa"/>
          </w:tcPr>
          <w:p w14:paraId="4DF19EB0" w14:textId="77777777" w:rsidR="007419DF" w:rsidRPr="007419DF" w:rsidRDefault="007419DF" w:rsidP="00017C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96193F0" w14:textId="77777777" w:rsidR="007419DF" w:rsidRPr="007419DF" w:rsidRDefault="007419DF" w:rsidP="00017C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753B66" w14:textId="77777777" w:rsidR="007419DF" w:rsidRPr="007419DF" w:rsidRDefault="007419DF" w:rsidP="00017C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14:paraId="0F749066" w14:textId="77777777" w:rsidR="007419DF" w:rsidRPr="007419DF" w:rsidRDefault="007419DF" w:rsidP="00017C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14:paraId="05D45274" w14:textId="77777777" w:rsidR="007419DF" w:rsidRPr="007419DF" w:rsidRDefault="007419DF" w:rsidP="00017C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F37B904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ab/>
      </w:r>
      <w:r w:rsidRPr="007419DF">
        <w:rPr>
          <w:rFonts w:ascii="Times New Roman" w:hAnsi="Times New Roman" w:cs="Times New Roman"/>
          <w:sz w:val="28"/>
          <w:szCs w:val="28"/>
        </w:rPr>
        <w:tab/>
      </w:r>
      <w:r w:rsidRPr="007419DF">
        <w:rPr>
          <w:rFonts w:ascii="Times New Roman" w:hAnsi="Times New Roman" w:cs="Times New Roman"/>
          <w:sz w:val="28"/>
          <w:szCs w:val="28"/>
        </w:rPr>
        <w:tab/>
      </w:r>
      <w:r w:rsidRPr="007419DF">
        <w:rPr>
          <w:rFonts w:ascii="Times New Roman" w:hAnsi="Times New Roman" w:cs="Times New Roman"/>
          <w:sz w:val="28"/>
          <w:szCs w:val="28"/>
        </w:rPr>
        <w:tab/>
      </w:r>
    </w:p>
    <w:p w14:paraId="47C1BA46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3F7F4" w14:textId="77777777" w:rsidR="007419DF" w:rsidRPr="007419DF" w:rsidRDefault="007419DF" w:rsidP="007419D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</w:t>
      </w:r>
    </w:p>
    <w:p w14:paraId="0F1C3465" w14:textId="18F7B78C" w:rsidR="007419DF" w:rsidRPr="007419DF" w:rsidRDefault="007419DF" w:rsidP="007419D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</w:t>
      </w:r>
    </w:p>
    <w:p w14:paraId="4812B7C5" w14:textId="7F5E5066" w:rsidR="007419DF" w:rsidRPr="007419DF" w:rsidRDefault="007419DF" w:rsidP="007419D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жительства___________________________________________</w:t>
      </w:r>
    </w:p>
    <w:p w14:paraId="1120D96F" w14:textId="767BAB4F" w:rsidR="007419DF" w:rsidRPr="007419DF" w:rsidRDefault="007419DF" w:rsidP="007419D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19DF">
        <w:rPr>
          <w:rFonts w:ascii="Times New Roman" w:hAnsi="Times New Roman" w:cs="Times New Roman"/>
          <w:sz w:val="28"/>
          <w:szCs w:val="28"/>
        </w:rPr>
        <w:t>Личная подпись и дата____________________________________________</w:t>
      </w:r>
    </w:p>
    <w:p w14:paraId="34423B23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36FF3" w14:textId="77777777" w:rsidR="007419DF" w:rsidRPr="007419DF" w:rsidRDefault="007419DF" w:rsidP="007419D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4D148" w14:textId="77777777" w:rsidR="00975984" w:rsidRPr="002C595E" w:rsidRDefault="00975984" w:rsidP="00741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1D0D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55"/>
    <w:rsid w:val="000806BD"/>
    <w:rsid w:val="00082A2B"/>
    <w:rsid w:val="00084DC8"/>
    <w:rsid w:val="000F52FF"/>
    <w:rsid w:val="00170ACA"/>
    <w:rsid w:val="001D0D0D"/>
    <w:rsid w:val="00220B9E"/>
    <w:rsid w:val="002579FB"/>
    <w:rsid w:val="0027175F"/>
    <w:rsid w:val="0029536C"/>
    <w:rsid w:val="002C595E"/>
    <w:rsid w:val="00352379"/>
    <w:rsid w:val="003B0C25"/>
    <w:rsid w:val="003D1B38"/>
    <w:rsid w:val="004063B9"/>
    <w:rsid w:val="00416E6C"/>
    <w:rsid w:val="00420FEA"/>
    <w:rsid w:val="00424D5C"/>
    <w:rsid w:val="004C4EAF"/>
    <w:rsid w:val="00535B32"/>
    <w:rsid w:val="00555FBC"/>
    <w:rsid w:val="00572CFF"/>
    <w:rsid w:val="005B409B"/>
    <w:rsid w:val="00681FDB"/>
    <w:rsid w:val="00714556"/>
    <w:rsid w:val="00731329"/>
    <w:rsid w:val="00734634"/>
    <w:rsid w:val="007419DF"/>
    <w:rsid w:val="00791FDB"/>
    <w:rsid w:val="007A2F33"/>
    <w:rsid w:val="007D58C8"/>
    <w:rsid w:val="008B2644"/>
    <w:rsid w:val="00904F20"/>
    <w:rsid w:val="00975984"/>
    <w:rsid w:val="009E0458"/>
    <w:rsid w:val="009F2527"/>
    <w:rsid w:val="009F4D22"/>
    <w:rsid w:val="00A74C5E"/>
    <w:rsid w:val="00A75D15"/>
    <w:rsid w:val="00AB61B3"/>
    <w:rsid w:val="00B01A32"/>
    <w:rsid w:val="00BA0255"/>
    <w:rsid w:val="00BA3605"/>
    <w:rsid w:val="00BE1874"/>
    <w:rsid w:val="00BF6B87"/>
    <w:rsid w:val="00C32FFE"/>
    <w:rsid w:val="00C446E3"/>
    <w:rsid w:val="00C52D57"/>
    <w:rsid w:val="00C80159"/>
    <w:rsid w:val="00CE1529"/>
    <w:rsid w:val="00DD1ECF"/>
    <w:rsid w:val="00E2639A"/>
    <w:rsid w:val="00E43E74"/>
    <w:rsid w:val="00F059FD"/>
    <w:rsid w:val="00F33100"/>
    <w:rsid w:val="00F7659A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0A99"/>
  <w15:docId w15:val="{A30D7200-2546-4C13-9918-DFED08A5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4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741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LaptevaVN</cp:lastModifiedBy>
  <cp:revision>7</cp:revision>
  <cp:lastPrinted>2025-04-24T09:11:00Z</cp:lastPrinted>
  <dcterms:created xsi:type="dcterms:W3CDTF">2024-04-26T05:31:00Z</dcterms:created>
  <dcterms:modified xsi:type="dcterms:W3CDTF">2025-04-25T03:42:00Z</dcterms:modified>
</cp:coreProperties>
</file>